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3F6A63">
        <w:rPr>
          <w:rFonts w:ascii="Times New Roman" w:eastAsia="Times New Roman" w:hAnsi="Times New Roman" w:cs="Times New Roman"/>
          <w:b/>
          <w:lang w:eastAsia="zh-CN"/>
        </w:rPr>
        <w:t>_____/_____/______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3F6A63"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______________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w:t>
      </w:r>
      <w:r w:rsidR="00FF0B95" w:rsidRPr="00EA3B98">
        <w:rPr>
          <w:rFonts w:ascii="Times New Roman" w:hAnsi="Times New Roman" w:cs="Times New Roman"/>
          <w:bCs/>
          <w:iCs/>
        </w:rPr>
        <w:t xml:space="preserve"> от </w:t>
      </w:r>
      <w:r>
        <w:rPr>
          <w:rFonts w:ascii="Times New Roman" w:hAnsi="Times New Roman" w:cs="Times New Roman"/>
          <w:bCs/>
          <w:iCs/>
        </w:rPr>
        <w:t>___ _________</w:t>
      </w:r>
      <w:r w:rsidR="00FF0B95" w:rsidRPr="00EA3B98">
        <w:rPr>
          <w:rFonts w:ascii="Times New Roman" w:hAnsi="Times New Roman" w:cs="Times New Roman"/>
          <w:bCs/>
          <w:iCs/>
        </w:rPr>
        <w:t xml:space="preserve"> 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3F6A63" w:rsidRDefault="008F24BC" w:rsidP="003F6A63">
      <w:pPr>
        <w:autoSpaceDE w:val="0"/>
        <w:autoSpaceDN w:val="0"/>
        <w:adjustRightInd w:val="0"/>
        <w:spacing w:after="0" w:line="240" w:lineRule="auto"/>
        <w:ind w:firstLine="709"/>
        <w:jc w:val="both"/>
        <w:rPr>
          <w:rFonts w:ascii="Times New Roman" w:hAnsi="Times New Roman" w:cs="Times New Roman"/>
        </w:rPr>
      </w:pPr>
      <w:r w:rsidRPr="00FF0B95">
        <w:rPr>
          <w:rFonts w:ascii="Times New Roman" w:hAnsi="Times New Roman" w:cs="Times New Roman"/>
        </w:rPr>
        <w:t>1.1. 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3F6A63" w:rsidRPr="003F6A63">
        <w:rPr>
          <w:rFonts w:ascii="Times New Roman" w:hAnsi="Times New Roman" w:cs="Times New Roman"/>
          <w:i/>
          <w:u w:val="single"/>
        </w:rPr>
        <w:t>с</w:t>
      </w:r>
      <w:r w:rsidR="003F6A63" w:rsidRPr="003F6A63">
        <w:rPr>
          <w:rFonts w:ascii="Times New Roman" w:hAnsi="Times New Roman" w:cs="Times New Roman"/>
          <w:i/>
          <w:u w:val="single"/>
        </w:rPr>
        <w:t>троительство канализационных сетей для подключения объекта капитального строительства к централизованной системе водоотведения</w:t>
      </w:r>
      <w:r w:rsidR="003F6A63">
        <w:rPr>
          <w:rFonts w:ascii="Times New Roman" w:hAnsi="Times New Roman" w:cs="Times New Roman"/>
        </w:rPr>
        <w:t xml:space="preserve">  </w:t>
      </w:r>
      <w:r w:rsidRPr="00FF0B95">
        <w:rPr>
          <w:rFonts w:ascii="Times New Roman" w:hAnsi="Times New Roman" w:cs="Times New Roman"/>
        </w:rPr>
        <w:t xml:space="preserve">(далее – </w:t>
      </w:r>
      <w:r w:rsidR="004D5EF3" w:rsidRPr="00FF0B95">
        <w:rPr>
          <w:rFonts w:ascii="Times New Roman" w:hAnsi="Times New Roman" w:cs="Times New Roman"/>
        </w:rPr>
        <w:t>р</w:t>
      </w:r>
      <w:r w:rsidRPr="00FF0B95">
        <w:rPr>
          <w:rFonts w:ascii="Times New Roman" w:hAnsi="Times New Roman" w:cs="Times New Roman"/>
        </w:rPr>
        <w:t>абота</w:t>
      </w:r>
      <w:r w:rsidR="004D5EF3" w:rsidRPr="00FF0B95">
        <w:rPr>
          <w:rFonts w:ascii="Times New Roman" w:hAnsi="Times New Roman" w:cs="Times New Roman"/>
        </w:rPr>
        <w:t>, результат работы</w:t>
      </w:r>
      <w:r w:rsidRPr="00FF0B95">
        <w:rPr>
          <w:rFonts w:ascii="Times New Roman" w:hAnsi="Times New Roman" w:cs="Times New Roman"/>
        </w:rPr>
        <w:t>)</w:t>
      </w:r>
      <w:r w:rsidR="00A632BF" w:rsidRPr="00FF0B95">
        <w:rPr>
          <w:rFonts w:ascii="Times New Roman" w:hAnsi="Times New Roman" w:cs="Times New Roman"/>
        </w:rPr>
        <w:t xml:space="preserve"> следующего объекта</w:t>
      </w:r>
      <w:r w:rsidR="00B244BF" w:rsidRPr="00FF0B95">
        <w:rPr>
          <w:rFonts w:ascii="Times New Roman" w:hAnsi="Times New Roman" w:cs="Times New Roman"/>
        </w:rPr>
        <w:t>:</w:t>
      </w:r>
      <w:r w:rsidR="00F834E5" w:rsidRPr="00FF0B95">
        <w:rPr>
          <w:rFonts w:ascii="Times New Roman" w:hAnsi="Times New Roman" w:cs="Times New Roman"/>
        </w:rPr>
        <w:t xml:space="preserve"> </w:t>
      </w:r>
      <w:proofErr w:type="gramStart"/>
      <w:r w:rsidR="003F6A63" w:rsidRPr="003F6A63">
        <w:rPr>
          <w:rFonts w:ascii="Times New Roman" w:hAnsi="Times New Roman" w:cs="Times New Roman"/>
        </w:rPr>
        <w:t>«</w:t>
      </w:r>
      <w:r w:rsidR="003F6A63" w:rsidRPr="003F6A63">
        <w:rPr>
          <w:rFonts w:ascii="Times New Roman" w:hAnsi="Times New Roman" w:cs="Times New Roman"/>
          <w:i/>
          <w:u w:val="single"/>
        </w:rPr>
        <w:t>Многоэтажный многоквартирный жилой дом, расположенный по адресу: г. Самара, Железнодорожный район  ул. Красноармейская, на земельном участке с кадастровым номером 63:01:0105001:1559» и «Многоэтажный многоквартирный жилой дом, расположенный по адресу: г. Самара, Железнодорожный район, ул. Красноармейская, на земельном участке с кадастровым номером 63:01:0105001:1560»</w:t>
      </w:r>
      <w:r w:rsidR="003F6A63" w:rsidRPr="00FF0B95">
        <w:rPr>
          <w:rFonts w:ascii="Times New Roman" w:hAnsi="Times New Roman" w:cs="Times New Roman"/>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proofErr w:type="gramEnd"/>
      <w:r w:rsidRPr="00FF0B95">
        <w:rPr>
          <w:rFonts w:ascii="Times New Roman" w:hAnsi="Times New Roman" w:cs="Times New Roman"/>
          <w:bCs/>
          <w:iCs/>
        </w:rPr>
        <w:t xml:space="preserve"> к Договору) и Сметном </w:t>
      </w:r>
      <w:proofErr w:type="gramStart"/>
      <w:r w:rsidRPr="00FF0B95">
        <w:rPr>
          <w:rFonts w:ascii="Times New Roman" w:hAnsi="Times New Roman" w:cs="Times New Roman"/>
          <w:bCs/>
          <w:iCs/>
        </w:rPr>
        <w:t>расчете</w:t>
      </w:r>
      <w:proofErr w:type="gramEnd"/>
      <w:r w:rsidRPr="00FF0B95">
        <w:rPr>
          <w:rFonts w:ascii="Times New Roman" w:hAnsi="Times New Roman" w:cs="Times New Roman"/>
          <w:bCs/>
          <w:iCs/>
        </w:rPr>
        <w:t xml:space="preserve">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3F6A63">
        <w:rPr>
          <w:rFonts w:ascii="Times New Roman" w:hAnsi="Times New Roman" w:cs="Times New Roman"/>
          <w:bCs/>
          <w:iCs/>
        </w:rPr>
        <w:t>, №2.1; №2.2</w:t>
      </w:r>
      <w:r w:rsidRPr="00FF0B95">
        <w:rPr>
          <w:rFonts w:ascii="Times New Roman" w:hAnsi="Times New Roman" w:cs="Times New Roman"/>
          <w:bCs/>
          <w:iCs/>
        </w:rPr>
        <w:t xml:space="preserve"> 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w:t>
      </w:r>
      <w:r w:rsidR="003F6A63" w:rsidRPr="003F6A63">
        <w:rPr>
          <w:rFonts w:ascii="Times New Roman" w:hAnsi="Times New Roman" w:cs="Times New Roman"/>
          <w:sz w:val="22"/>
          <w:szCs w:val="22"/>
        </w:rPr>
        <w:t xml:space="preserve">№ 2, №2.1; №2.2 </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3F6A63">
        <w:rPr>
          <w:rFonts w:ascii="Times New Roman" w:hAnsi="Times New Roman" w:cs="Times New Roman"/>
          <w:b/>
          <w:sz w:val="22"/>
          <w:szCs w:val="22"/>
        </w:rPr>
        <w:t>_____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3F6A63">
        <w:rPr>
          <w:rFonts w:ascii="Times New Roman" w:hAnsi="Times New Roman" w:cs="Times New Roman"/>
          <w:sz w:val="22"/>
          <w:szCs w:val="22"/>
        </w:rPr>
        <w:t>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3F6A63">
        <w:rPr>
          <w:rFonts w:ascii="Times New Roman" w:hAnsi="Times New Roman" w:cs="Times New Roman"/>
          <w:sz w:val="22"/>
          <w:szCs w:val="22"/>
        </w:rPr>
        <w:t>___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3F6A63">
        <w:rPr>
          <w:rFonts w:ascii="Times New Roman" w:hAnsi="Times New Roman" w:cs="Times New Roman"/>
          <w:b/>
          <w:sz w:val="22"/>
          <w:szCs w:val="22"/>
        </w:rPr>
        <w:t>____</w:t>
      </w:r>
      <w:r w:rsidR="00713D63">
        <w:rPr>
          <w:rFonts w:ascii="Times New Roman" w:hAnsi="Times New Roman" w:cs="Times New Roman"/>
          <w:sz w:val="22"/>
          <w:szCs w:val="22"/>
        </w:rPr>
        <w:t xml:space="preserve"> (</w:t>
      </w:r>
      <w:r w:rsidR="003F6A63">
        <w:rPr>
          <w:rFonts w:ascii="Times New Roman" w:hAnsi="Times New Roman" w:cs="Times New Roman"/>
          <w:sz w:val="22"/>
          <w:szCs w:val="22"/>
        </w:rPr>
        <w:t>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3F6A63">
        <w:rPr>
          <w:rFonts w:ascii="Times New Roman" w:hAnsi="Times New Roman" w:cs="Times New Roman"/>
          <w:sz w:val="22"/>
          <w:szCs w:val="22"/>
        </w:rPr>
        <w:t>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3F6A63">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w:t>
      </w:r>
      <w:r w:rsidRPr="004D6F04">
        <w:rPr>
          <w:rFonts w:ascii="Times New Roman" w:hAnsi="Times New Roman" w:cs="Times New Roman"/>
        </w:rPr>
        <w:lastRenderedPageBreak/>
        <w:t>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3F6A63">
        <w:rPr>
          <w:rFonts w:ascii="Times New Roman" w:hAnsi="Times New Roman" w:cs="Times New Roman"/>
        </w:rPr>
        <w:t>№</w:t>
      </w:r>
      <w:r w:rsidR="009F613C">
        <w:rPr>
          <w:rFonts w:ascii="Times New Roman" w:hAnsi="Times New Roman" w:cs="Times New Roman"/>
        </w:rPr>
        <w:t>2</w:t>
      </w:r>
      <w:r w:rsidR="003F6A63">
        <w:rPr>
          <w:rFonts w:ascii="Times New Roman" w:hAnsi="Times New Roman" w:cs="Times New Roman"/>
        </w:rPr>
        <w:t>; №2.1; №2.2</w:t>
      </w:r>
      <w:r w:rsidR="009F613C">
        <w:rPr>
          <w:rFonts w:ascii="Times New Roman" w:hAnsi="Times New Roman" w:cs="Times New Roman"/>
        </w:rPr>
        <w:t xml:space="preserve"> (локальный сметный расчет)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фактическую 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w:t>
      </w:r>
      <w:r w:rsidR="003F6A63" w:rsidRPr="003F6A63">
        <w:rPr>
          <w:rFonts w:ascii="Times New Roman" w:hAnsi="Times New Roman" w:cs="Times New Roman"/>
        </w:rPr>
        <w:t xml:space="preserve">№2; №2.1; №2.2 </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 xml:space="preserve">абот, выполняемых с нарушением </w:t>
      </w:r>
      <w:r w:rsidR="00DE7465" w:rsidRPr="00E52CE0">
        <w:rPr>
          <w:rFonts w:ascii="Times New Roman" w:hAnsi="Times New Roman" w:cs="Times New Roman"/>
          <w:bCs/>
          <w:iCs/>
        </w:rPr>
        <w:lastRenderedPageBreak/>
        <w:t>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xml:space="preserve">.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w:t>
      </w:r>
      <w:r w:rsidRPr="00FC27EE">
        <w:rPr>
          <w:rFonts w:ascii="Times New Roman" w:eastAsia="Times New Roman" w:hAnsi="Times New Roman" w:cs="Times New Roman"/>
          <w:lang w:eastAsia="zh-CN"/>
        </w:rPr>
        <w:lastRenderedPageBreak/>
        <w:t>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w:t>
      </w:r>
      <w:r w:rsidR="000F5DCB" w:rsidRPr="0045405F">
        <w:rPr>
          <w:rFonts w:ascii="Times New Roman" w:hAnsi="Times New Roman" w:cs="Times New Roman"/>
        </w:rPr>
        <w:lastRenderedPageBreak/>
        <w:t xml:space="preserve">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w:t>
      </w:r>
      <w:r w:rsidR="00DE7465" w:rsidRPr="00E52CE0">
        <w:rPr>
          <w:rFonts w:ascii="Times New Roman" w:hAnsi="Times New Roman" w:cs="Times New Roman"/>
          <w:sz w:val="22"/>
          <w:szCs w:val="22"/>
        </w:rPr>
        <w:lastRenderedPageBreak/>
        <w:t>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lastRenderedPageBreak/>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lastRenderedPageBreak/>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w:t>
      </w:r>
      <w:r w:rsidRPr="00E52CE0">
        <w:rPr>
          <w:rFonts w:ascii="Times New Roman" w:eastAsiaTheme="minorHAnsi" w:hAnsi="Times New Roman" w:cs="Times New Roman"/>
          <w:sz w:val="22"/>
          <w:szCs w:val="22"/>
          <w:lang w:eastAsia="en-US"/>
        </w:rPr>
        <w:lastRenderedPageBreak/>
        <w:t xml:space="preserve">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 xml:space="preserve">.3. В случаях, не определенных Договором, Стороны будут руководствоваться </w:t>
      </w:r>
      <w:r w:rsidRPr="00E52CE0">
        <w:rPr>
          <w:rFonts w:ascii="Times New Roman" w:eastAsiaTheme="minorHAnsi" w:hAnsi="Times New Roman" w:cs="Times New Roman"/>
          <w:sz w:val="22"/>
          <w:szCs w:val="22"/>
          <w:lang w:eastAsia="en-US"/>
        </w:rPr>
        <w:lastRenderedPageBreak/>
        <w:t>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3F6A63">
        <w:rPr>
          <w:rFonts w:ascii="Times New Roman" w:eastAsiaTheme="minorHAnsi" w:hAnsi="Times New Roman" w:cs="Times New Roman"/>
          <w:sz w:val="22"/>
          <w:szCs w:val="22"/>
          <w:lang w:eastAsia="en-US"/>
        </w:rPr>
        <w:t>; №2.1; №2.2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r w:rsidR="003F6A63">
        <w:rPr>
          <w:rFonts w:ascii="Times New Roman" w:eastAsiaTheme="minorHAnsi" w:hAnsi="Times New Roman" w:cs="Times New Roman"/>
          <w:sz w:val="22"/>
          <w:szCs w:val="22"/>
          <w:lang w:eastAsia="en-US"/>
        </w:rPr>
        <w:t>.</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3F6A6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3F6A63">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3F6A63">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3F6A6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3F6A63">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3F6A63">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3F6A63">
              <w:rPr>
                <w:rFonts w:ascii="Times New Roman" w:eastAsia="Times New Roman" w:hAnsi="Times New Roman" w:cs="Times New Roman"/>
                <w:bCs/>
                <w:lang w:eastAsia="zh-CN"/>
              </w:rPr>
              <w:t>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3F6A63">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3F6A63">
              <w:rPr>
                <w:rFonts w:ascii="Times New Roman" w:eastAsia="Times New Roman" w:hAnsi="Times New Roman" w:cs="Times New Roman"/>
                <w:bCs/>
                <w:lang w:eastAsia="zh-CN"/>
              </w:rPr>
              <w:t>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3F6A6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3F6A63">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3F6A63" w:rsidRDefault="00332A67" w:rsidP="003F6A63">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3F6A63">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3F6A63">
              <w:rPr>
                <w:rFonts w:ascii="Times New Roman" w:eastAsia="Times New Roman" w:hAnsi="Times New Roman" w:cs="Times New Roman"/>
                <w:bCs/>
                <w:lang w:eastAsia="zh-CN"/>
              </w:rPr>
              <w:t>_________________________</w:t>
            </w:r>
            <w:r w:rsidRPr="000B728F">
              <w:rPr>
                <w:rFonts w:ascii="Times New Roman" w:eastAsia="Times New Roman" w:hAnsi="Times New Roman" w:cs="Times New Roman"/>
                <w:bCs/>
                <w:lang w:eastAsia="zh-CN"/>
              </w:rPr>
              <w:t xml:space="preserve"> </w:t>
            </w:r>
          </w:p>
          <w:p w:rsidR="00332A67" w:rsidRDefault="00332A67" w:rsidP="003F6A63">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3F6A63">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3F6A63">
              <w:rPr>
                <w:rFonts w:ascii="Times New Roman" w:eastAsia="Times New Roman" w:hAnsi="Times New Roman" w:cs="Times New Roman"/>
                <w:bCs/>
                <w:lang w:eastAsia="zh-CN"/>
              </w:rPr>
              <w:t>_______________________________</w:t>
            </w:r>
          </w:p>
          <w:p w:rsidR="00332A67" w:rsidRPr="000E3D5F" w:rsidRDefault="00332A67" w:rsidP="003F6A63">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3F6A63">
              <w:rPr>
                <w:rFonts w:ascii="Times New Roman" w:eastAsia="Times New Roman" w:hAnsi="Times New Roman" w:cs="Times New Roman"/>
                <w:bCs/>
                <w:lang w:eastAsia="zh-CN"/>
              </w:rPr>
              <w:t>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3F6A63">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3F6A63">
              <w:rPr>
                <w:rFonts w:ascii="Times New Roman" w:eastAsia="Times New Roman" w:hAnsi="Times New Roman" w:cs="Times New Roman"/>
                <w:bCs/>
                <w:lang w:eastAsia="zh-CN"/>
              </w:rPr>
              <w:t>_________________</w:t>
            </w:r>
            <w:bookmarkStart w:id="3" w:name="_GoBack"/>
            <w:bookmarkEnd w:id="3"/>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3F6A63"/>
    <w:rsid w:val="00421096"/>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6FAE8-296F-4CD2-B7EE-54C50A5FC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13</Pages>
  <Words>7533</Words>
  <Characters>42939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50372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31</cp:revision>
  <dcterms:created xsi:type="dcterms:W3CDTF">2022-02-10T12:48:00Z</dcterms:created>
  <dcterms:modified xsi:type="dcterms:W3CDTF">2023-04-05T07:32:00Z</dcterms:modified>
</cp:coreProperties>
</file>